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Aruanne toote kohta: Aroma King – Arrow Mint</w:t>
      </w:r>
    </w:p>
    <w:p>
      <w:pPr>
        <w:pStyle w:val="Heading2"/>
      </w:pPr>
      <w:r>
        <w:t>1. Müügimahud kaubamärgi ja toote tüübi järgi</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t>Kaubamärk / Toode</w:t>
            </w:r>
          </w:p>
        </w:tc>
        <w:tc>
          <w:tcPr>
            <w:tcW w:type="dxa" w:w="2160"/>
          </w:tcPr>
          <w:p>
            <w:r>
              <w:t>Ribakood</w:t>
            </w:r>
          </w:p>
        </w:tc>
        <w:tc>
          <w:tcPr>
            <w:tcW w:type="dxa" w:w="2160"/>
          </w:tcPr>
          <w:p>
            <w:r>
              <w:t>Müüdud ühikute arv</w:t>
            </w:r>
          </w:p>
        </w:tc>
        <w:tc>
          <w:tcPr>
            <w:tcW w:type="dxa" w:w="2160"/>
          </w:tcPr>
          <w:p>
            <w:r>
              <w:t>Tootekood (ID)</w:t>
            </w:r>
          </w:p>
        </w:tc>
      </w:tr>
      <w:tr>
        <w:tc>
          <w:tcPr>
            <w:tcW w:type="dxa" w:w="2160"/>
          </w:tcPr>
          <w:p>
            <w:r>
              <w:t>Aroma King – Arrow Mint</w:t>
            </w:r>
          </w:p>
        </w:tc>
        <w:tc>
          <w:tcPr>
            <w:tcW w:type="dxa" w:w="2160"/>
          </w:tcPr>
          <w:p>
            <w:r>
              <w:t>5905311249245</w:t>
            </w:r>
          </w:p>
        </w:tc>
        <w:tc>
          <w:tcPr>
            <w:tcW w:type="dxa" w:w="2160"/>
          </w:tcPr>
          <w:p>
            <w:r>
              <w:t>5 489 tk</w:t>
            </w:r>
          </w:p>
        </w:tc>
        <w:tc>
          <w:tcPr>
            <w:tcW w:type="dxa" w:w="2160"/>
          </w:tcPr>
          <w:p>
            <w:r>
              <w:t>05922-23-00373</w:t>
            </w:r>
          </w:p>
        </w:tc>
      </w:tr>
    </w:tbl>
    <w:p>
      <w:pPr>
        <w:pStyle w:val="Heading2"/>
      </w:pPr>
      <w:r>
        <w:t>2. Teave erinevate tarbijarühmade eelistuste kohta</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t>Tarbijarühm</w:t>
            </w:r>
          </w:p>
        </w:tc>
        <w:tc>
          <w:tcPr>
            <w:tcW w:type="dxa" w:w="2160"/>
          </w:tcPr>
          <w:p>
            <w:r>
              <w:t>Eelistused ja käitumine</w:t>
            </w:r>
          </w:p>
        </w:tc>
        <w:tc>
          <w:tcPr>
            <w:tcW w:type="dxa" w:w="2160"/>
          </w:tcPr>
          <w:p>
            <w:r>
              <w:t>Valiku põhjused</w:t>
            </w:r>
          </w:p>
        </w:tc>
        <w:tc>
          <w:tcPr>
            <w:tcW w:type="dxa" w:w="2160"/>
          </w:tcPr>
          <w:p>
            <w:r>
              <w:t>Kasutussagedus</w:t>
            </w:r>
          </w:p>
        </w:tc>
      </w:tr>
      <w:tr>
        <w:tc>
          <w:tcPr>
            <w:tcW w:type="dxa" w:w="2160"/>
          </w:tcPr>
          <w:p>
            <w:r>
              <w:t>Noored (18–25 a)</w:t>
            </w:r>
          </w:p>
        </w:tc>
        <w:tc>
          <w:tcPr>
            <w:tcW w:type="dxa" w:w="2160"/>
          </w:tcPr>
          <w:p>
            <w:r>
              <w:t>Valivad sageli kui „värske“ ja intensiivse maitse.</w:t>
            </w:r>
          </w:p>
        </w:tc>
        <w:tc>
          <w:tcPr>
            <w:tcW w:type="dxa" w:w="2160"/>
          </w:tcPr>
          <w:p>
            <w:r>
              <w:t>Värskustunne, tugev mentoolimaitse, seostatakse nätsuga.</w:t>
            </w:r>
          </w:p>
        </w:tc>
        <w:tc>
          <w:tcPr>
            <w:tcW w:type="dxa" w:w="2160"/>
          </w:tcPr>
          <w:p>
            <w:r>
              <w:t>Ebakorrapärane, meelelahutuslik kasutus</w:t>
            </w:r>
          </w:p>
        </w:tc>
      </w:tr>
      <w:tr>
        <w:tc>
          <w:tcPr>
            <w:tcW w:type="dxa" w:w="2160"/>
          </w:tcPr>
          <w:p>
            <w:r>
              <w:t>Mittesuitsetajad / algajad</w:t>
            </w:r>
          </w:p>
        </w:tc>
        <w:tc>
          <w:tcPr>
            <w:tcW w:type="dxa" w:w="2160"/>
          </w:tcPr>
          <w:p>
            <w:r>
              <w:t>Madal huvi, eelistavad pehmemaid maitseid.</w:t>
            </w:r>
          </w:p>
        </w:tc>
        <w:tc>
          <w:tcPr>
            <w:tcW w:type="dxa" w:w="2160"/>
          </w:tcPr>
          <w:p>
            <w:r>
              <w:t>Liiga jahutav ja intensiivne, tundub liiga tugev</w:t>
            </w:r>
          </w:p>
        </w:tc>
        <w:tc>
          <w:tcPr>
            <w:tcW w:type="dxa" w:w="2160"/>
          </w:tcPr>
          <w:p>
            <w:r>
              <w:t>Harv, proovimiseks</w:t>
            </w:r>
          </w:p>
        </w:tc>
      </w:tr>
      <w:tr>
        <w:tc>
          <w:tcPr>
            <w:tcW w:type="dxa" w:w="2160"/>
          </w:tcPr>
          <w:p>
            <w:r>
              <w:t>Püsitarbijad (veipijad)</w:t>
            </w:r>
          </w:p>
        </w:tc>
        <w:tc>
          <w:tcPr>
            <w:tcW w:type="dxa" w:w="2160"/>
          </w:tcPr>
          <w:p>
            <w:r>
              <w:t>Eelistavad igapäevaseks kasutamiseks.</w:t>
            </w:r>
          </w:p>
        </w:tc>
        <w:tc>
          <w:tcPr>
            <w:tcW w:type="dxa" w:w="2160"/>
          </w:tcPr>
          <w:p>
            <w:r>
              <w:t>Tugev mentooliefekt, sobib sigarettide asendamiseks</w:t>
            </w:r>
          </w:p>
        </w:tc>
        <w:tc>
          <w:tcPr>
            <w:tcW w:type="dxa" w:w="2160"/>
          </w:tcPr>
          <w:p>
            <w:r>
              <w:t>Regulaarselt, igapäevaselt</w:t>
            </w:r>
          </w:p>
        </w:tc>
      </w:tr>
    </w:tbl>
    <w:p>
      <w:pPr>
        <w:pStyle w:val="Heading2"/>
      </w:pPr>
      <w:r>
        <w:t>3. Müügikanalid</w:t>
      </w:r>
    </w:p>
    <w:p>
      <w:r>
        <w:t>• Jaemüük: spetsialiseeritud vape-kauplustes täiskasvanutele</w:t>
        <w:br/>
        <w:t>• Hulgimüük: läbi volitatud turustajate ja edasimüüjate</w:t>
      </w:r>
    </w:p>
    <w:p>
      <w:pPr>
        <w:pStyle w:val="Heading2"/>
      </w:pPr>
      <w:r>
        <w:t>4. Turu-uuring: Arrow Mint maitse tajumine</w:t>
      </w:r>
    </w:p>
    <w:p>
      <w:r>
        <w:t>Eesmärk:</w:t>
        <w:br/>
        <w:t>Hinnata Arrow Mint maitse tajumist ja kasutussagedust erinevate tarbijarühmade seas.</w:t>
        <w:br/>
      </w:r>
    </w:p>
    <w:p>
      <w:r>
        <w:t>Metoodika:</w:t>
        <w:br/>
        <w:t>Klientide tagasisideküsitlused ja müügikäitumise vaatlus Eestis ning teistes EL riikides (2023).</w:t>
        <w:br/>
      </w:r>
    </w:p>
    <w:p>
      <w:r>
        <w:t>Peamised järeldused:</w:t>
      </w:r>
    </w:p>
    <w:p>
      <w:r>
        <w:t>- Arrow Mint kuulub mentool- ja värskendusmaitsete müügitop 3 hulka.</w:t>
      </w:r>
    </w:p>
    <w:p>
      <w:r>
        <w:t>- Eriti populaarne vanusegrupis 20–35 eluaastat.</w:t>
      </w:r>
    </w:p>
    <w:p>
      <w:r>
        <w:t>- Peetakse „universaalseks“ maitseks, sobib igapäevaseks kasutamiseks.</w:t>
      </w:r>
    </w:p>
    <w:p>
      <w:r>
        <w:t>- Kõrge nõudlus riikides, kus on keelatud maitselisandid, kuid mentool on lubatud.</w:t>
      </w:r>
    </w:p>
    <w:p>
      <w:r>
        <w:t>- Suur osakaal korduvostudest – kliendid pöörduvad tagasi just selle maitse juurde.</w:t>
      </w:r>
    </w:p>
    <w:p>
      <w:pPr>
        <w:pStyle w:val="Heading2"/>
      </w:pPr>
      <w:r>
        <w:t>5. Kokkuvõte</w:t>
      </w:r>
    </w:p>
    <w:p>
      <w:r>
        <w:t>Aroma King – Arrow Mint on üks populaarsemaid maitseid mentoolisarjas. Tänu tugevale jahutavale efektile ja laiapõhjalisele sobivusele on toode konkurentsivõimeline Euroopa turul, eriti täiskasvanud endiste suitsetajate seas. Toode vastab TPD nõuetele ja sobib hästi pikaajaliseks müügiks reguleeritud turgudel.</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